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7592D"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20CB734D" w14:textId="77777777" w:rsidTr="000B2EFB">
        <w:tc>
          <w:tcPr>
            <w:tcW w:w="10206" w:type="dxa"/>
            <w:gridSpan w:val="4"/>
            <w:shd w:val="clear" w:color="auto" w:fill="auto"/>
          </w:tcPr>
          <w:p w14:paraId="7E34FD25"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51E06090"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27E55259"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2394F89A"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2511DE60"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398CC5B8"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6889EA33"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0DEA95E0"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3C240A">
              <w:fldChar w:fldCharType="begin"/>
            </w:r>
            <w:r w:rsidR="003C240A" w:rsidRPr="003C240A">
              <w:rPr>
                <w:lang w:val="et-EE"/>
              </w:rPr>
              <w:instrText xml:space="preserve"> HYPERLINK "https://research.swedbank.se/files/RecoTrackList/RecoTrackListBaltic.pdf" </w:instrText>
            </w:r>
            <w:r w:rsidR="003C240A">
              <w:fldChar w:fldCharType="separate"/>
            </w:r>
            <w:r w:rsidRPr="005503BC">
              <w:rPr>
                <w:rStyle w:val="Hyperlink"/>
                <w:b w:val="0"/>
                <w:color w:val="FF6600"/>
                <w:sz w:val="14"/>
                <w:szCs w:val="14"/>
                <w:lang w:val="et-EE"/>
              </w:rPr>
              <w:t>https://research.swedbank.se/files/RecoTrackList/RecoTrackListBaltic.pdf</w:t>
            </w:r>
            <w:r w:rsidR="003C240A">
              <w:rPr>
                <w:rStyle w:val="Hyperlink"/>
                <w:b w:val="0"/>
                <w:color w:val="FF6600"/>
                <w:sz w:val="14"/>
                <w:szCs w:val="14"/>
                <w:lang w:val="et-EE"/>
              </w:rPr>
              <w:fldChar w:fldCharType="end"/>
            </w:r>
            <w:r w:rsidRPr="005503BC">
              <w:rPr>
                <w:b w:val="0"/>
                <w:lang w:val="et-EE"/>
              </w:rPr>
              <w:t>.</w:t>
            </w:r>
          </w:p>
          <w:p w14:paraId="7B8462B3" w14:textId="77777777" w:rsidR="00C91A30" w:rsidRPr="005503BC" w:rsidRDefault="00C91A30" w:rsidP="00CD4713">
            <w:pPr>
              <w:pStyle w:val="TextDisclaimer"/>
              <w:rPr>
                <w:b/>
                <w:lang w:val="et-EE"/>
              </w:rPr>
            </w:pPr>
          </w:p>
        </w:tc>
      </w:tr>
      <w:tr w:rsidR="007353C6" w:rsidRPr="005503BC" w14:paraId="251F5DC2" w14:textId="77777777" w:rsidTr="00B428FF">
        <w:trPr>
          <w:trHeight w:val="2244"/>
        </w:trPr>
        <w:tc>
          <w:tcPr>
            <w:tcW w:w="6372" w:type="dxa"/>
            <w:gridSpan w:val="3"/>
            <w:shd w:val="clear" w:color="auto" w:fill="auto"/>
          </w:tcPr>
          <w:p w14:paraId="381317A1" w14:textId="77777777" w:rsidR="007353C6" w:rsidRPr="005503BC" w:rsidRDefault="009E2286" w:rsidP="0087302E">
            <w:pPr>
              <w:pStyle w:val="HeadingDisclaimer"/>
              <w:rPr>
                <w:lang w:val="et-EE"/>
              </w:rPr>
            </w:pPr>
            <w:r w:rsidRPr="005503BC">
              <w:rPr>
                <w:bCs/>
                <w:lang w:val="et-EE"/>
              </w:rPr>
              <w:t xml:space="preserve">Soovitused </w:t>
            </w:r>
            <w:bookmarkStart w:id="1" w:name="YesterdayDate"/>
            <w:r w:rsidR="003C240A">
              <w:rPr>
                <w:bCs/>
                <w:lang w:val="et-EE"/>
              </w:rPr>
              <w:t>18.05.2021</w:t>
            </w:r>
            <w:bookmarkEnd w:id="1"/>
          </w:p>
          <w:p w14:paraId="4F7E6057" w14:textId="77777777" w:rsidR="009E2286" w:rsidRPr="005503BC" w:rsidRDefault="003C240A" w:rsidP="007C6650">
            <w:bookmarkStart w:id="2" w:name="BRecosTable"/>
            <w:r w:rsidRPr="003C240A">
              <w:rPr>
                <w:noProof/>
              </w:rPr>
              <w:drawing>
                <wp:inline distT="0" distB="0" distL="0" distR="0" wp14:anchorId="61672856" wp14:editId="4D8363E0">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2"/>
          </w:p>
        </w:tc>
        <w:tc>
          <w:tcPr>
            <w:tcW w:w="3834" w:type="dxa"/>
            <w:shd w:val="clear" w:color="auto" w:fill="auto"/>
          </w:tcPr>
          <w:p w14:paraId="3E42D62D" w14:textId="77777777" w:rsidR="007353C6" w:rsidRPr="005503BC" w:rsidRDefault="003C240A" w:rsidP="007C6650">
            <w:pPr>
              <w:jc w:val="center"/>
            </w:pPr>
            <w:bookmarkStart w:id="3" w:name="BRecosChart"/>
            <w:r w:rsidRPr="003C240A">
              <w:rPr>
                <w:noProof/>
              </w:rPr>
              <w:drawing>
                <wp:inline distT="0" distB="0" distL="0" distR="0" wp14:anchorId="1F89C059" wp14:editId="02A4EC81">
                  <wp:extent cx="2286000"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bookmarkEnd w:id="3"/>
          </w:p>
        </w:tc>
      </w:tr>
      <w:tr w:rsidR="009E2286" w:rsidRPr="005503BC" w14:paraId="060BF428" w14:textId="77777777" w:rsidTr="00A171DB">
        <w:trPr>
          <w:trHeight w:hRule="exact" w:val="947"/>
        </w:trPr>
        <w:tc>
          <w:tcPr>
            <w:tcW w:w="6372" w:type="dxa"/>
            <w:gridSpan w:val="3"/>
            <w:shd w:val="clear" w:color="auto" w:fill="auto"/>
          </w:tcPr>
          <w:p w14:paraId="3F5C940C" w14:textId="77777777" w:rsidR="009E2286" w:rsidRPr="005503BC" w:rsidRDefault="009E2286" w:rsidP="009E2286">
            <w:pPr>
              <w:spacing w:after="0" w:line="240" w:lineRule="auto"/>
              <w:rPr>
                <w:b/>
              </w:rPr>
            </w:pPr>
          </w:p>
        </w:tc>
        <w:tc>
          <w:tcPr>
            <w:tcW w:w="3834" w:type="dxa"/>
            <w:shd w:val="clear" w:color="auto" w:fill="auto"/>
          </w:tcPr>
          <w:p w14:paraId="5DA86F84"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21CB0F05" w14:textId="77777777" w:rsidR="00A171DB" w:rsidRPr="005503BC" w:rsidRDefault="00A171DB" w:rsidP="00236C05">
            <w:pPr>
              <w:jc w:val="center"/>
            </w:pPr>
          </w:p>
        </w:tc>
      </w:tr>
      <w:tr w:rsidR="007353C6" w:rsidRPr="005503BC" w14:paraId="58094288" w14:textId="77777777" w:rsidTr="000B2EFB">
        <w:tc>
          <w:tcPr>
            <w:tcW w:w="10206" w:type="dxa"/>
            <w:gridSpan w:val="4"/>
            <w:shd w:val="clear" w:color="auto" w:fill="auto"/>
          </w:tcPr>
          <w:p w14:paraId="13A264FF" w14:textId="77777777" w:rsidR="007353C6" w:rsidRPr="005503BC" w:rsidRDefault="003C240A" w:rsidP="00236C05">
            <w:pPr>
              <w:pStyle w:val="HeadingDisclaimer"/>
              <w:rPr>
                <w:lang w:val="et-EE"/>
              </w:rPr>
            </w:pPr>
            <w:bookmarkStart w:id="4" w:name="CompanyName"/>
            <w:r>
              <w:rPr>
                <w:bCs/>
                <w:lang w:val="et-EE"/>
              </w:rPr>
              <w:t>Tallinna Kaubamaja</w:t>
            </w:r>
            <w:bookmarkEnd w:id="4"/>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1ACF2232" w14:textId="77777777" w:rsidTr="0008275D">
        <w:trPr>
          <w:trHeight w:hRule="exact" w:val="3067"/>
        </w:trPr>
        <w:tc>
          <w:tcPr>
            <w:tcW w:w="10206" w:type="dxa"/>
            <w:gridSpan w:val="4"/>
            <w:shd w:val="clear" w:color="auto" w:fill="auto"/>
          </w:tcPr>
          <w:p w14:paraId="764A4893" w14:textId="77777777" w:rsidR="007353C6" w:rsidRPr="005503BC" w:rsidRDefault="003C240A" w:rsidP="007C6650">
            <w:bookmarkStart w:id="5" w:name="b_PriceRatingChart"/>
            <w:r w:rsidRPr="003C240A">
              <w:rPr>
                <w:noProof/>
              </w:rPr>
              <w:drawing>
                <wp:inline distT="0" distB="0" distL="0" distR="0" wp14:anchorId="7D13786D" wp14:editId="6EFFF5E4">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5"/>
          </w:p>
        </w:tc>
      </w:tr>
      <w:tr w:rsidR="007353C6" w:rsidRPr="005503BC" w14:paraId="490F5225" w14:textId="77777777" w:rsidTr="000B2EFB">
        <w:tc>
          <w:tcPr>
            <w:tcW w:w="10206" w:type="dxa"/>
            <w:gridSpan w:val="4"/>
            <w:shd w:val="clear" w:color="auto" w:fill="auto"/>
          </w:tcPr>
          <w:p w14:paraId="175F9622"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6CFA133F" w14:textId="77777777" w:rsidTr="000B2EFB">
        <w:trPr>
          <w:gridAfter w:val="2"/>
          <w:wAfter w:w="8161" w:type="dxa"/>
          <w:trHeight w:hRule="exact" w:val="170"/>
        </w:trPr>
        <w:tc>
          <w:tcPr>
            <w:tcW w:w="1603" w:type="dxa"/>
            <w:shd w:val="clear" w:color="auto" w:fill="auto"/>
          </w:tcPr>
          <w:p w14:paraId="6BCF2D54"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060AF232" w14:textId="77777777" w:rsidR="007353C6" w:rsidRPr="005503BC" w:rsidRDefault="007353C6" w:rsidP="007C6650">
            <w:pPr>
              <w:pStyle w:val="TextDisclaimer"/>
              <w:spacing w:before="0" w:after="0"/>
              <w:rPr>
                <w:rFonts w:cs="Tahoma"/>
                <w:sz w:val="14"/>
                <w:szCs w:val="14"/>
                <w:lang w:val="et-EE"/>
              </w:rPr>
            </w:pPr>
          </w:p>
        </w:tc>
      </w:tr>
      <w:tr w:rsidR="007353C6" w:rsidRPr="005503BC" w14:paraId="63768ED5" w14:textId="77777777" w:rsidTr="000B2EFB">
        <w:trPr>
          <w:gridAfter w:val="2"/>
          <w:wAfter w:w="8161" w:type="dxa"/>
          <w:trHeight w:hRule="exact" w:val="170"/>
        </w:trPr>
        <w:tc>
          <w:tcPr>
            <w:tcW w:w="1603" w:type="dxa"/>
            <w:shd w:val="clear" w:color="auto" w:fill="auto"/>
          </w:tcPr>
          <w:p w14:paraId="50C142BC"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212A010A" w14:textId="77777777" w:rsidR="007353C6" w:rsidRPr="005503BC" w:rsidRDefault="007353C6" w:rsidP="007C6650">
            <w:pPr>
              <w:pStyle w:val="TextDisclaimer"/>
              <w:spacing w:before="0" w:after="0"/>
              <w:rPr>
                <w:rFonts w:cs="Tahoma"/>
                <w:sz w:val="14"/>
                <w:szCs w:val="14"/>
                <w:lang w:val="et-EE"/>
              </w:rPr>
            </w:pPr>
          </w:p>
        </w:tc>
      </w:tr>
      <w:tr w:rsidR="007353C6" w:rsidRPr="005503BC" w14:paraId="471698B3" w14:textId="77777777" w:rsidTr="000B2EFB">
        <w:trPr>
          <w:gridAfter w:val="2"/>
          <w:wAfter w:w="8161" w:type="dxa"/>
          <w:trHeight w:hRule="exact" w:val="170"/>
        </w:trPr>
        <w:tc>
          <w:tcPr>
            <w:tcW w:w="1603" w:type="dxa"/>
            <w:shd w:val="clear" w:color="auto" w:fill="auto"/>
          </w:tcPr>
          <w:p w14:paraId="5652760B"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348756B8" w14:textId="77777777" w:rsidR="007353C6" w:rsidRPr="005503BC" w:rsidRDefault="007353C6" w:rsidP="007C6650">
            <w:pPr>
              <w:pStyle w:val="TextDisclaimer"/>
              <w:spacing w:before="0" w:after="0"/>
              <w:rPr>
                <w:rFonts w:cs="Tahoma"/>
                <w:sz w:val="14"/>
                <w:szCs w:val="14"/>
                <w:lang w:val="et-EE"/>
              </w:rPr>
            </w:pPr>
          </w:p>
        </w:tc>
      </w:tr>
      <w:tr w:rsidR="007353C6" w:rsidRPr="005503BC" w14:paraId="39A9185B" w14:textId="77777777" w:rsidTr="000B2EFB">
        <w:trPr>
          <w:trHeight w:val="740"/>
        </w:trPr>
        <w:tc>
          <w:tcPr>
            <w:tcW w:w="10206" w:type="dxa"/>
            <w:gridSpan w:val="4"/>
            <w:shd w:val="clear" w:color="auto" w:fill="auto"/>
          </w:tcPr>
          <w:p w14:paraId="48ECEC49"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44317D84"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27182803" w14:textId="77777777" w:rsidR="007353C6" w:rsidRPr="005503BC" w:rsidRDefault="007353C6">
      <w:pPr>
        <w:rPr>
          <w:rFonts w:ascii="Arial" w:eastAsia="Times New Roman" w:hAnsi="Arial" w:cs="Times New Roman"/>
          <w:sz w:val="20"/>
          <w:szCs w:val="20"/>
        </w:rPr>
      </w:pPr>
      <w:r w:rsidRPr="005503BC">
        <w:br w:type="page"/>
      </w:r>
    </w:p>
    <w:p w14:paraId="64C3C378" w14:textId="77777777" w:rsidR="007C6650" w:rsidRPr="005503BC" w:rsidRDefault="007C6650" w:rsidP="007C6650">
      <w:pPr>
        <w:pStyle w:val="1stheading"/>
        <w:ind w:left="-2835"/>
        <w:rPr>
          <w:noProof w:val="0"/>
        </w:rPr>
      </w:pPr>
      <w:bookmarkStart w:id="6" w:name="_Toc229901394"/>
      <w:bookmarkStart w:id="7" w:name="_Toc227664134"/>
      <w:r w:rsidRPr="005503BC">
        <w:rPr>
          <w:noProof w:val="0"/>
        </w:rPr>
        <w:lastRenderedPageBreak/>
        <w:t>Klienditeave</w:t>
      </w:r>
      <w:bookmarkEnd w:id="6"/>
      <w:bookmarkEnd w:id="7"/>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45ECF956" w14:textId="77777777" w:rsidTr="00AD7C4B">
        <w:tc>
          <w:tcPr>
            <w:tcW w:w="5103" w:type="dxa"/>
          </w:tcPr>
          <w:p w14:paraId="452EBE44"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2D461138"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8" w:name="b_disc1"/>
            <w:r w:rsidR="003C240A">
              <w:rPr>
                <w:sz w:val="14"/>
                <w:szCs w:val="14"/>
                <w:lang w:val="et-EE"/>
              </w:rPr>
              <w:t>Swedbank ASi (Eesti)</w:t>
            </w:r>
            <w:bookmarkEnd w:id="8"/>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9" w:name="b_firstname"/>
            <w:r w:rsidR="003C240A">
              <w:rPr>
                <w:sz w:val="14"/>
                <w:szCs w:val="14"/>
                <w:lang w:val="et-EE"/>
              </w:rPr>
              <w:t>Marek</w:t>
            </w:r>
            <w:bookmarkEnd w:id="9"/>
            <w:r w:rsidR="006D63C7">
              <w:rPr>
                <w:sz w:val="14"/>
                <w:szCs w:val="14"/>
                <w:lang w:val="et-EE"/>
              </w:rPr>
              <w:t xml:space="preserve"> </w:t>
            </w:r>
            <w:bookmarkStart w:id="10" w:name="b_lastname"/>
            <w:r w:rsidR="003C240A">
              <w:rPr>
                <w:sz w:val="14"/>
                <w:szCs w:val="14"/>
                <w:lang w:val="et-EE"/>
              </w:rPr>
              <w:t>Randma</w:t>
            </w:r>
            <w:bookmarkEnd w:id="10"/>
            <w:r w:rsidR="001542DE" w:rsidRPr="001542DE">
              <w:rPr>
                <w:sz w:val="14"/>
                <w:szCs w:val="14"/>
                <w:lang w:val="et-EE"/>
              </w:rPr>
              <w:t>. Swedbanki üle teostab järelevalvet</w:t>
            </w:r>
            <w:r w:rsidR="001542DE">
              <w:rPr>
                <w:sz w:val="14"/>
                <w:szCs w:val="14"/>
                <w:lang w:val="et-EE"/>
              </w:rPr>
              <w:t xml:space="preserve"> </w:t>
            </w:r>
            <w:bookmarkStart w:id="11" w:name="b_disc2"/>
            <w:r w:rsidR="003C240A">
              <w:rPr>
                <w:sz w:val="14"/>
                <w:szCs w:val="14"/>
                <w:lang w:val="et-EE"/>
              </w:rPr>
              <w:t>Eesti Finantsinspektsioon.</w:t>
            </w:r>
            <w:bookmarkEnd w:id="11"/>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740F5500"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3C240A">
              <w:fldChar w:fldCharType="begin"/>
            </w:r>
            <w:r w:rsidR="003C240A" w:rsidRPr="003C240A">
              <w:rPr>
                <w:lang w:val="et-EE"/>
              </w:rPr>
              <w:instrText xml:space="preserve"> HYPERLINK "https://www.swedbank.ee/disclaimers/EquityProducts.pdf" </w:instrText>
            </w:r>
            <w:r w:rsidR="003C240A">
              <w:fldChar w:fldCharType="separate"/>
            </w:r>
            <w:r w:rsidRPr="005503BC">
              <w:rPr>
                <w:rStyle w:val="Hyperlink"/>
                <w:rFonts w:cs="Arial"/>
                <w:sz w:val="14"/>
                <w:szCs w:val="14"/>
                <w:lang w:val="et-EE"/>
              </w:rPr>
              <w:t>https://www.swedbank.ee/disclaimers/EquityProducts.pdf</w:t>
            </w:r>
            <w:r w:rsidR="003C240A">
              <w:rPr>
                <w:rStyle w:val="Hyperlink"/>
                <w:rFonts w:cs="Arial"/>
                <w:sz w:val="14"/>
                <w:szCs w:val="14"/>
                <w:lang w:val="et-EE"/>
              </w:rPr>
              <w:fldChar w:fldCharType="end"/>
            </w:r>
            <w:r w:rsidRPr="005503BC">
              <w:rPr>
                <w:sz w:val="14"/>
                <w:szCs w:val="14"/>
                <w:lang w:val="et-EE"/>
              </w:rPr>
              <w:t>.</w:t>
            </w:r>
          </w:p>
          <w:p w14:paraId="0B3CE208"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39B7F84A"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61BD0F3D"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2CFE87A1"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3BA5F79E"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691930DA"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06740DD7"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2D43A123"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16897FC1"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33F6BFE5"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1C2C7130"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6FFEEC5E"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21BEB940"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2CD5A3B1"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1AF5962B"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5A8EB36E" w14:textId="77777777" w:rsidR="00A41078" w:rsidRPr="005503BC" w:rsidRDefault="003C240A" w:rsidP="00A41078">
            <w:pPr>
              <w:autoSpaceDE w:val="0"/>
              <w:autoSpaceDN w:val="0"/>
              <w:adjustRightInd w:val="0"/>
              <w:spacing w:after="40"/>
              <w:jc w:val="both"/>
              <w:rPr>
                <w:rFonts w:ascii="Arial" w:hAnsi="Arial" w:cs="Arial"/>
                <w:bCs/>
                <w:sz w:val="14"/>
                <w:szCs w:val="14"/>
              </w:rPr>
            </w:pPr>
            <w:bookmarkStart w:id="12" w:name="Disc1Bookmark"/>
            <w:r w:rsidRPr="003C240A">
              <w:rPr>
                <w:rFonts w:ascii="Arial" w:hAnsi="Arial" w:cs="Arial"/>
                <w:bCs/>
                <w:noProof/>
                <w:sz w:val="14"/>
                <w:szCs w:val="14"/>
              </w:rPr>
              <w:drawing>
                <wp:inline distT="0" distB="0" distL="0" distR="0" wp14:anchorId="3150E3F1" wp14:editId="074558D0">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2"/>
          </w:p>
          <w:p w14:paraId="2F866B90"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52D93CAB" w14:textId="77777777" w:rsidR="002A3C93" w:rsidRPr="005503BC" w:rsidRDefault="003C240A" w:rsidP="002A3C93">
            <w:pPr>
              <w:autoSpaceDE w:val="0"/>
              <w:autoSpaceDN w:val="0"/>
              <w:adjustRightInd w:val="0"/>
              <w:spacing w:after="40"/>
              <w:jc w:val="both"/>
              <w:rPr>
                <w:rFonts w:ascii="Arial" w:hAnsi="Arial" w:cs="Arial"/>
                <w:bCs/>
                <w:sz w:val="14"/>
                <w:szCs w:val="14"/>
              </w:rPr>
            </w:pPr>
            <w:bookmarkStart w:id="13" w:name="Disc2Bookmark"/>
            <w:r w:rsidRPr="003C240A">
              <w:rPr>
                <w:rFonts w:ascii="Arial" w:hAnsi="Arial" w:cs="Arial"/>
                <w:bCs/>
                <w:noProof/>
                <w:sz w:val="14"/>
                <w:szCs w:val="14"/>
              </w:rPr>
              <w:drawing>
                <wp:inline distT="0" distB="0" distL="0" distR="0" wp14:anchorId="2F584928" wp14:editId="68FB6011">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3"/>
          </w:p>
          <w:p w14:paraId="72F93F4A"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5EFDEB8C" w14:textId="77777777" w:rsidR="005649E0" w:rsidRPr="005503BC" w:rsidRDefault="003C240A" w:rsidP="005649E0">
            <w:pPr>
              <w:autoSpaceDE w:val="0"/>
              <w:autoSpaceDN w:val="0"/>
              <w:adjustRightInd w:val="0"/>
              <w:spacing w:after="40"/>
              <w:jc w:val="both"/>
              <w:rPr>
                <w:rFonts w:ascii="Arial" w:hAnsi="Arial" w:cs="Arial"/>
                <w:bCs/>
                <w:sz w:val="14"/>
                <w:szCs w:val="14"/>
              </w:rPr>
            </w:pPr>
            <w:bookmarkStart w:id="14" w:name="Disc3Bookmark"/>
            <w:r w:rsidRPr="003C240A">
              <w:rPr>
                <w:rFonts w:ascii="Arial" w:hAnsi="Arial" w:cs="Arial"/>
                <w:bCs/>
                <w:noProof/>
                <w:sz w:val="14"/>
                <w:szCs w:val="14"/>
              </w:rPr>
              <w:drawing>
                <wp:inline distT="0" distB="0" distL="0" distR="0" wp14:anchorId="24108DC2" wp14:editId="2A1B0B8B">
                  <wp:extent cx="3103245" cy="3619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361950"/>
                          </a:xfrm>
                          <a:prstGeom prst="rect">
                            <a:avLst/>
                          </a:prstGeom>
                          <a:noFill/>
                          <a:ln>
                            <a:noFill/>
                          </a:ln>
                        </pic:spPr>
                      </pic:pic>
                    </a:graphicData>
                  </a:graphic>
                </wp:inline>
              </w:drawing>
            </w:r>
            <w:bookmarkEnd w:id="14"/>
          </w:p>
          <w:p w14:paraId="4E4248D4"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5FF0C73A"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3317F096"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38756F47"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0C3AC6E5" w14:textId="77777777" w:rsidR="005503BC" w:rsidRPr="005503BC" w:rsidRDefault="005503BC" w:rsidP="00BA78BE">
            <w:pPr>
              <w:autoSpaceDE w:val="0"/>
              <w:autoSpaceDN w:val="0"/>
              <w:adjustRightInd w:val="0"/>
              <w:spacing w:after="40"/>
              <w:jc w:val="both"/>
              <w:rPr>
                <w:rFonts w:cs="Arial"/>
                <w:sz w:val="14"/>
                <w:szCs w:val="14"/>
              </w:rPr>
            </w:pPr>
          </w:p>
        </w:tc>
      </w:tr>
    </w:tbl>
    <w:p w14:paraId="2F263049"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67172467" w14:textId="77777777" w:rsidR="00C3010F" w:rsidRDefault="00C3010F" w:rsidP="00FF4B89">
      <w:pPr>
        <w:rPr>
          <w:rFonts w:ascii="Arial" w:eastAsia="Times New Roman" w:hAnsi="Arial" w:cs="Times New Roman"/>
          <w:sz w:val="20"/>
          <w:szCs w:val="20"/>
        </w:rPr>
      </w:pPr>
    </w:p>
    <w:p w14:paraId="7DDC72FC" w14:textId="77777777" w:rsidR="00C3010F" w:rsidRDefault="00C3010F" w:rsidP="00FF4B89">
      <w:pPr>
        <w:rPr>
          <w:rFonts w:ascii="Arial" w:eastAsia="Times New Roman" w:hAnsi="Arial" w:cs="Times New Roman"/>
          <w:sz w:val="20"/>
          <w:szCs w:val="20"/>
        </w:rPr>
      </w:pPr>
    </w:p>
    <w:p w14:paraId="0D341926" w14:textId="77777777" w:rsidR="001C0B37" w:rsidRDefault="001C0B37" w:rsidP="00FF4B89">
      <w:pPr>
        <w:rPr>
          <w:rFonts w:ascii="Arial" w:eastAsia="Times New Roman" w:hAnsi="Arial" w:cs="Times New Roman"/>
          <w:sz w:val="20"/>
          <w:szCs w:val="20"/>
        </w:rPr>
      </w:pPr>
    </w:p>
    <w:p w14:paraId="22B573FD" w14:textId="77777777" w:rsidR="001C0B37" w:rsidRDefault="001C0B37" w:rsidP="00FF4B89">
      <w:pPr>
        <w:rPr>
          <w:rFonts w:ascii="Arial" w:eastAsia="Times New Roman" w:hAnsi="Arial" w:cs="Times New Roman"/>
          <w:sz w:val="20"/>
          <w:szCs w:val="20"/>
        </w:rPr>
      </w:pPr>
    </w:p>
    <w:p w14:paraId="262F78B2" w14:textId="77777777" w:rsidR="001C0B37" w:rsidRDefault="001C0B37" w:rsidP="00FF4B89">
      <w:pPr>
        <w:rPr>
          <w:rFonts w:ascii="Arial" w:eastAsia="Times New Roman" w:hAnsi="Arial" w:cs="Times New Roman"/>
          <w:sz w:val="20"/>
          <w:szCs w:val="20"/>
        </w:rPr>
      </w:pPr>
    </w:p>
    <w:p w14:paraId="0635F898"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6089FC04" wp14:editId="289600B8">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F7022"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62232DB0" w14:textId="77777777" w:rsidTr="001E22C2">
                              <w:trPr>
                                <w:trHeight w:hRule="exact" w:val="227"/>
                              </w:trPr>
                              <w:tc>
                                <w:tcPr>
                                  <w:tcW w:w="2808" w:type="dxa"/>
                                  <w:tcBorders>
                                    <w:right w:val="dotted" w:sz="4" w:space="0" w:color="auto"/>
                                  </w:tcBorders>
                                  <w:noWrap/>
                                </w:tcPr>
                                <w:p w14:paraId="1ABD9023"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754F42A3"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7CBC62B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5B9BDFE6" w14:textId="77777777" w:rsidTr="001E22C2">
                              <w:trPr>
                                <w:trHeight w:hRule="exact" w:val="227"/>
                              </w:trPr>
                              <w:tc>
                                <w:tcPr>
                                  <w:tcW w:w="2808" w:type="dxa"/>
                                  <w:tcBorders>
                                    <w:right w:val="dotted" w:sz="4" w:space="0" w:color="auto"/>
                                  </w:tcBorders>
                                  <w:noWrap/>
                                </w:tcPr>
                                <w:p w14:paraId="7A9CAFD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6812FBC9"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3B5233D9"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51223CB5" w14:textId="77777777" w:rsidTr="001E22C2">
                              <w:trPr>
                                <w:trHeight w:hRule="exact" w:val="227"/>
                              </w:trPr>
                              <w:tc>
                                <w:tcPr>
                                  <w:tcW w:w="2808" w:type="dxa"/>
                                  <w:tcBorders>
                                    <w:right w:val="dotted" w:sz="4" w:space="0" w:color="auto"/>
                                  </w:tcBorders>
                                  <w:noWrap/>
                                </w:tcPr>
                                <w:p w14:paraId="05E9731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67F20356" w14:textId="77777777" w:rsidR="001E22C2" w:rsidRPr="001E22C2" w:rsidRDefault="003C240A"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4A76F859"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297FC572"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9FC04"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" fillcolor="white [3212]" stroked="f">
                <v:textbox inset="7mm,,7mm">
                  <w:txbxContent>
                    <w:p w14:paraId="163F7022"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62232DB0" w14:textId="77777777" w:rsidTr="001E22C2">
                        <w:trPr>
                          <w:trHeight w:hRule="exact" w:val="227"/>
                        </w:trPr>
                        <w:tc>
                          <w:tcPr>
                            <w:tcW w:w="2808" w:type="dxa"/>
                            <w:tcBorders>
                              <w:right w:val="dotted" w:sz="4" w:space="0" w:color="auto"/>
                            </w:tcBorders>
                            <w:noWrap/>
                          </w:tcPr>
                          <w:p w14:paraId="1ABD9023"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754F42A3"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7CBC62B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5B9BDFE6" w14:textId="77777777" w:rsidTr="001E22C2">
                        <w:trPr>
                          <w:trHeight w:hRule="exact" w:val="227"/>
                        </w:trPr>
                        <w:tc>
                          <w:tcPr>
                            <w:tcW w:w="2808" w:type="dxa"/>
                            <w:tcBorders>
                              <w:right w:val="dotted" w:sz="4" w:space="0" w:color="auto"/>
                            </w:tcBorders>
                            <w:noWrap/>
                          </w:tcPr>
                          <w:p w14:paraId="7A9CAFD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6812FBC9"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3B5233D9"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51223CB5" w14:textId="77777777" w:rsidTr="001E22C2">
                        <w:trPr>
                          <w:trHeight w:hRule="exact" w:val="227"/>
                        </w:trPr>
                        <w:tc>
                          <w:tcPr>
                            <w:tcW w:w="2808" w:type="dxa"/>
                            <w:tcBorders>
                              <w:right w:val="dotted" w:sz="4" w:space="0" w:color="auto"/>
                            </w:tcBorders>
                            <w:noWrap/>
                          </w:tcPr>
                          <w:p w14:paraId="05E9731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67F20356" w14:textId="77777777" w:rsidR="001E22C2" w:rsidRPr="001E22C2" w:rsidRDefault="003C240A"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4A76F859"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297FC572"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C5A81" w14:textId="77777777" w:rsidR="009771EF" w:rsidRDefault="009771EF" w:rsidP="004D4906">
      <w:pPr>
        <w:spacing w:after="0" w:line="240" w:lineRule="auto"/>
      </w:pPr>
      <w:r>
        <w:separator/>
      </w:r>
    </w:p>
  </w:endnote>
  <w:endnote w:type="continuationSeparator" w:id="0">
    <w:p w14:paraId="1E0D112C"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4866F"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2D48BC7A" wp14:editId="5A73598E">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A3729"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3C240A">
                            <w:rPr>
                              <w:noProof/>
                              <w:color w:val="7F7F7F" w:themeColor="text1" w:themeTint="80"/>
                              <w:sz w:val="16"/>
                              <w:szCs w:val="16"/>
                              <w:lang w:val="et"/>
                            </w:rPr>
                            <w:t>mai 19,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8BC7A"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" fillcolor="white [3212]" stroked="f">
              <v:fill color2="white [3212]" rotate="t" angle="90" focus="100%" type="gradient"/>
              <v:textbox inset="0,1.5mm,0,1mm">
                <w:txbxContent>
                  <w:p w14:paraId="6DBA3729"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3C240A">
                      <w:rPr>
                        <w:noProof/>
                        <w:color w:val="7F7F7F" w:themeColor="text1" w:themeTint="80"/>
                        <w:sz w:val="16"/>
                        <w:szCs w:val="16"/>
                        <w:lang w:val="et"/>
                      </w:rPr>
                      <w:t>mai 19,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1BFFF" w14:textId="77777777" w:rsidR="009771EF" w:rsidRDefault="009771EF" w:rsidP="004D4906">
      <w:pPr>
        <w:spacing w:after="0" w:line="240" w:lineRule="auto"/>
      </w:pPr>
      <w:r>
        <w:separator/>
      </w:r>
    </w:p>
  </w:footnote>
  <w:footnote w:type="continuationSeparator" w:id="0">
    <w:p w14:paraId="21B10985"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240A"/>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8C5AEC"/>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A93-1873-4FEE-A499-2B35047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1029</Words>
  <Characters>7989</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13444</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2021-05-19T11:25:00Z</dcterms:created>
  <dcterms:modified xsi:type="dcterms:W3CDTF">2021-05-19T11:25:00Z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19/05/2021  11:24:24</vt:lpwstr>
  </property>
  <property fmtid="{D5CDD505-2E9C-101B-9397-08002B2CF9AE}" pid="9" name="Refreshed">
    <vt:lpwstr>1</vt:lpwstr>
  </property>
  <property fmtid="{D5CDD505-2E9C-101B-9397-08002B2CF9AE}" pid="10" name="YearRef">
    <vt:lpwstr>2023</vt:lpwstr>
  </property>
  <property fmtid="{D5CDD505-2E9C-101B-9397-08002B2CF9AE}" pid="11" name="PriceDate">
    <vt:lpwstr>18/05/2021</vt:lpwstr>
  </property>
  <property fmtid="{D5CDD505-2E9C-101B-9397-08002B2CF9AE}" pid="12" name="DocIsInitialized">
    <vt:lpwstr>0</vt:lpwstr>
  </property>
  <property fmtid="{D5CDD505-2E9C-101B-9397-08002B2CF9AE}" pid="13" name="Company_13444_TYPE">
    <vt:lpwstr>-5</vt:lpwstr>
  </property>
  <property fmtid="{D5CDD505-2E9C-101B-9397-08002B2CF9AE}" pid="14" name="Industry">
    <vt:lpwstr>13826</vt:lpwstr>
  </property>
  <property fmtid="{D5CDD505-2E9C-101B-9397-08002B2CF9AE}" pid="15" name="INDUSTRY_13826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2023,DATESTAMP,1,1,1,1,0,disc_eq_baltics_est.rwd,0,0,0,0,v6.3.0.4,10050,,,0,{,,0},{,,0},{,,0},{,,0},0</vt:lpwstr>
  </property>
  <property fmtid="{D5CDD505-2E9C-101B-9397-08002B2CF9AE}" pid="19" name="Valeur">
    <vt:lpwstr>C13444</vt:lpwstr>
  </property>
  <property fmtid="{D5CDD505-2E9C-101B-9397-08002B2CF9AE}" pid="20" name="Sujet">
    <vt:lpwstr>Tallinna Kaubamaja</vt:lpwstr>
  </property>
  <property fmtid="{D5CDD505-2E9C-101B-9397-08002B2CF9AE}" pid="21" name="Analyste">
    <vt:lpwstr>79-Randma</vt:lpwstr>
  </property>
  <property fmtid="{D5CDD505-2E9C-101B-9397-08002B2CF9AE}" pid="22" name="Secteur">
    <vt:lpwstr>13826-Retail</vt:lpwstr>
  </property>
  <property fmtid="{D5CDD505-2E9C-101B-9397-08002B2CF9AE}" pid="23" name="ListProperties">
    <vt:lpwstr>JcfpaVersion,Module,WipLds,LastRefresh,Refreshed,YearRef,PriceDate,DocIsInitialized,Company,Company_13444_TYPE,Industry,INDUSTRY_13826_TYPE,Currency,Currency_10050_TYPE,</vt:lpwstr>
  </property>
</Properties>
</file>